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032A2E" w:rsidRPr="00032A2E" w:rsidTr="00032A2E">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032A2E" w:rsidRPr="00032A2E">
              <w:trPr>
                <w:tblCellSpacing w:w="15" w:type="dxa"/>
                <w:jc w:val="center"/>
              </w:trPr>
              <w:tc>
                <w:tcPr>
                  <w:tcW w:w="0" w:type="auto"/>
                  <w:vAlign w:val="center"/>
                  <w:hideMark/>
                </w:tcPr>
                <w:p w:rsidR="00032A2E" w:rsidRPr="00032A2E" w:rsidRDefault="00032A2E" w:rsidP="00032A2E">
                  <w:pPr>
                    <w:widowControl/>
                    <w:spacing w:before="100" w:beforeAutospacing="1" w:after="240"/>
                    <w:jc w:val="center"/>
                    <w:rPr>
                      <w:rFonts w:ascii="Arial" w:eastAsia="宋体" w:hAnsi="Arial" w:cs="Arial"/>
                      <w:kern w:val="0"/>
                      <w:sz w:val="20"/>
                      <w:szCs w:val="24"/>
                      <w:lang w:val="fr-FR"/>
                    </w:rPr>
                  </w:pPr>
                  <w:r w:rsidRPr="00032A2E">
                    <w:rPr>
                      <w:rFonts w:ascii="Arial" w:eastAsia="宋体" w:hAnsi="Arial" w:cs="Arial"/>
                      <w:b/>
                      <w:bCs/>
                      <w:kern w:val="0"/>
                      <w:sz w:val="20"/>
                      <w:szCs w:val="24"/>
                      <w:lang w:val="fr-FR"/>
                    </w:rPr>
                    <w:t>Convention pour la répression d</w:t>
                  </w:r>
                  <w:r w:rsidRPr="00032A2E">
                    <w:rPr>
                      <w:rFonts w:ascii="Arial" w:eastAsia="宋体" w:hAnsi="Arial" w:cs="Arial"/>
                      <w:b/>
                      <w:bCs/>
                      <w:kern w:val="0"/>
                      <w:sz w:val="20"/>
                      <w:szCs w:val="24"/>
                    </w:rPr>
                    <w:t>抋</w:t>
                  </w:r>
                  <w:r w:rsidRPr="00032A2E">
                    <w:rPr>
                      <w:rFonts w:ascii="Arial" w:eastAsia="宋体" w:hAnsi="Arial" w:cs="Arial"/>
                      <w:b/>
                      <w:bCs/>
                      <w:kern w:val="0"/>
                      <w:sz w:val="20"/>
                      <w:szCs w:val="24"/>
                      <w:lang w:val="fr-FR"/>
                    </w:rPr>
                    <w:t>ctes illicites dirigés contre la sécurité de l</w:t>
                  </w:r>
                  <w:r w:rsidRPr="00032A2E">
                    <w:rPr>
                      <w:rFonts w:ascii="Arial" w:eastAsia="宋体" w:hAnsi="Arial" w:cs="Arial"/>
                      <w:b/>
                      <w:bCs/>
                      <w:kern w:val="0"/>
                      <w:sz w:val="20"/>
                      <w:szCs w:val="24"/>
                    </w:rPr>
                    <w:t>抋</w:t>
                  </w:r>
                  <w:r w:rsidRPr="00032A2E">
                    <w:rPr>
                      <w:rFonts w:ascii="Arial" w:eastAsia="宋体" w:hAnsi="Arial" w:cs="Arial"/>
                      <w:b/>
                      <w:bCs/>
                      <w:kern w:val="0"/>
                      <w:sz w:val="20"/>
                      <w:szCs w:val="24"/>
                      <w:lang w:val="fr-FR"/>
                    </w:rPr>
                    <w:t>viation civile </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LES ÉTATS PARTIES A LA PRÉSENTE CONVENTION,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CONSIDÉRANT que les actes illicites dirigés contre la sécurité de l'aviation civile compromettent la sécurité des personnes et des biens, gênent sérieusement l'exploitation des services aériens et minent la confiance des peuples du monde dans la sécurité de l'aviation civile,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CONSIDÉRANT que de tels actes les préoccupent gravement,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CONSIDÉRANT que, dans le but de prévenir ces actes, il est urgent de prévoir des mesures appropriées en vue de la punition de leurs auteurs,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SONT CONVENUS DES DISPOSITIONS SUIVANTES:</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0" w:name="Article1"/>
                  <w:r w:rsidRPr="00032A2E">
                    <w:rPr>
                      <w:rFonts w:ascii="Arial" w:eastAsia="宋体" w:hAnsi="Arial" w:cs="Arial"/>
                      <w:b/>
                      <w:bCs/>
                      <w:color w:val="336666"/>
                      <w:kern w:val="0"/>
                      <w:szCs w:val="27"/>
                      <w:lang w:val="fr-FR"/>
                    </w:rPr>
                    <w:t>Article 1</w:t>
                  </w:r>
                  <w:bookmarkEnd w:id="0"/>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Commet une infraction pénale toute personne qui illicitement et intentionnellement: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 accomplit un acte de violence à l'encontre d'une personne se trouvant à bord d'un aéronef en vol, si cet acte est de nature à compromettre la sécurité de cet aéronef,</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détruit un aéronef en service ou cause à un tel aéronef des dommages qui le rendent inapte au vol ou qui sont de nature à compromettre sa sécurité en vol;</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 place ou fait placer sur un aéronef en service, par quelque moyen que ce soit, un dispositif ou des substances propres à détruire ledit aéronef ou à lui causer des dommages qui le rendent inapte au vol ou qui sont de nature à compromettre sa sécurité en vol;</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(d) détruit ou endommage des installations ou services de navigation aérienne ou en perturbe le fonctionnement, si l'un de ces actes est de nature à compromettre la sécurité d'aéronefs en vol;</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(e) communique une information qu'elle sait être fausse et, de ce fait, compromet la sécurité d'un aéronef en vol.</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Commet également une infraction pénale toute personne qui:</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 tente de commettre l'une des infractions énumérées au paragraphe 1er du présent article;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est le complice de la personne qui commet ou tente de commettre l'une de ces infractions.</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 w:name="Article2"/>
                  <w:r w:rsidRPr="00032A2E">
                    <w:rPr>
                      <w:rFonts w:ascii="Arial" w:eastAsia="宋体" w:hAnsi="Arial" w:cs="Arial"/>
                      <w:b/>
                      <w:bCs/>
                      <w:color w:val="336666"/>
                      <w:kern w:val="0"/>
                      <w:szCs w:val="27"/>
                      <w:lang w:val="fr-FR"/>
                    </w:rPr>
                    <w:t>Article 2</w:t>
                  </w:r>
                  <w:bookmarkEnd w:id="1"/>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Aux fins de la présente convention: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 xml:space="preserve">(a) un aéronef est considéré comme étant en vol depuis le moment où, l'embarquement étant </w:t>
                  </w:r>
                  <w:r w:rsidRPr="00032A2E">
                    <w:rPr>
                      <w:rFonts w:ascii="Arial" w:eastAsia="宋体" w:hAnsi="Arial" w:cs="Arial"/>
                      <w:kern w:val="0"/>
                      <w:sz w:val="20"/>
                      <w:szCs w:val="24"/>
                      <w:lang w:val="fr-FR"/>
                    </w:rPr>
                    <w:lastRenderedPageBreak/>
                    <w:t>terminé, toutes ses portes extérieures ont été fermées jusqu'au moment où l'une de ces portes est ouverte en vue du débarquement; en cas d'atterrissage forcé, le vol est censé se poursuivre jusqu'à ce que l'autorité compétente prenne en charge l'aéronef ainsi que les personnes et biens à bord;</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un aéronef est considéré comme étant en service depuis le moment où le personnel au sol ou l'équipage commence à le préparer en vue d'un vol déterminé jusqu'à l'expiration d'un délai de vingt-quatre heures suivant tout atterrissage; la période de service s'étend en tout état de cause à la totalité du temps pendant lequel l'aéronef se trouve en vol au sens de l'alinéa (a) du présent paragraphe.</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2" w:name="Article3"/>
                  <w:r w:rsidRPr="00032A2E">
                    <w:rPr>
                      <w:rFonts w:ascii="Arial" w:eastAsia="宋体" w:hAnsi="Arial" w:cs="Arial"/>
                      <w:b/>
                      <w:bCs/>
                      <w:color w:val="336666"/>
                      <w:kern w:val="0"/>
                      <w:szCs w:val="27"/>
                      <w:lang w:val="fr-FR"/>
                    </w:rPr>
                    <w:t>Article 3</w:t>
                  </w:r>
                  <w:bookmarkEnd w:id="2"/>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Tout État contractant s'engage à réprimer de peines sévères les infractions énumérées à l'article 1er.</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3" w:name="Article4"/>
                  <w:r w:rsidRPr="00032A2E">
                    <w:rPr>
                      <w:rFonts w:ascii="Arial" w:eastAsia="宋体" w:hAnsi="Arial" w:cs="Arial"/>
                      <w:b/>
                      <w:bCs/>
                      <w:color w:val="336666"/>
                      <w:kern w:val="0"/>
                      <w:szCs w:val="27"/>
                      <w:lang w:val="fr-FR"/>
                    </w:rPr>
                    <w:t>Article 4</w:t>
                  </w:r>
                  <w:bookmarkEnd w:id="3"/>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La présente convention ne s'applique pas aux aéronefs utilisés à des fins militaires, de douane ou de police.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Dans les cas visés aux alinéas (a), (b), (c) et (e) du paragraphe 1er de l'article 1er, la présente convention, qu'il s'agisse d'un aéronef en vol international ou d'un aéronef en vol intérieur, ne s'applique que: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 si le lieu réel ou prévu du décollage ou de l'atterrissage de l'aéronef est situé hors du territoire de l'État d'immatriculation de cet aéronef, ou</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si l'infraction est commise sur le territoire d'un État autre que l'État d'immatriculation de l'aéronef.</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Nonobstant les dispositions du paragraphe 2 du présent article, dans les cas visés aux alinéas (a), (b), (c) et (e) du paragraphe 1er de l'article 1er, la présente convention s'applique également si l'auteur ou l'auteur présumé de l'infraction est découvert sur le territoire d'un État autre que l'État d'immatriculation de l'aéronef.</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4. En ce qui concerne les États visés à l'article 9 et dans les cas prévus aux alinéas (a), (b), (c) et (e) du paragraphe 1er de l'article 1er, la présente convention ne s'applique pas si les lieux mentionnés à l'alinéa (a) du paragraphe 2 du présent article sont situés sur le territoire d'un seul des États visés à l'article 9, à moins que l'infraction soit commise ou que l'auteur ou l'auteur présumé de l'infraction soit découvert sur le territoire d'un autre État.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5. Dans les cas visés à l'alinéa (d) du paragraphe 1er de l'article 1er, la présente convention ne s'applique que si les installations et services de navigation aérienne sont utilisés pour la navigation aérienne internationale.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 xml:space="preserve">6. Les dispositions des paragraphes 2, 3, 4 et 5 du présent article s'appliquent également dans les </w:t>
                  </w:r>
                  <w:r w:rsidRPr="00032A2E">
                    <w:rPr>
                      <w:rFonts w:ascii="Arial" w:eastAsia="宋体" w:hAnsi="Arial" w:cs="Arial"/>
                      <w:kern w:val="0"/>
                      <w:sz w:val="20"/>
                      <w:szCs w:val="24"/>
                      <w:lang w:val="fr-FR"/>
                    </w:rPr>
                    <w:lastRenderedPageBreak/>
                    <w:t>cas prévus au paragraphe 2 de l'article 1er.</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4" w:name="Article5"/>
                  <w:r w:rsidRPr="00032A2E">
                    <w:rPr>
                      <w:rFonts w:ascii="Arial" w:eastAsia="宋体" w:hAnsi="Arial" w:cs="Arial"/>
                      <w:b/>
                      <w:bCs/>
                      <w:color w:val="336666"/>
                      <w:kern w:val="0"/>
                      <w:szCs w:val="27"/>
                      <w:lang w:val="fr-FR"/>
                    </w:rPr>
                    <w:t>Article 5</w:t>
                  </w:r>
                  <w:bookmarkEnd w:id="4"/>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Tout État contractant prend les mesures nécessaires pour établir sa compétence aux fins de connaître des infractions dans les cas suivants: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 si l'infraction est commise sur le territoire de cet État;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si l'infraction est commise à l'encontre ou à bord d'un aéronef immatriculé dans cet État;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 si l'aéronef à bord duquel l'infraction est commise atterrit sur son territoire avec l'auteur présumé de l'infraction se trouvant encore à bord;</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(d) si l'infraction est commise à l'encontre ou à bord d'un aéronef donné en location sans équipage à une personne qui a le siège principal de son exploitation ou, à défaut, sa résidence permanente dans ledit État.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Tout État contractant prend également les mesures nécessaires pour établir sa compétence aux fins de connaître des infractions prévues aux alinéas (a), (b) et (c) du paragraphe 1er de l'article 1er, ainsi qu'au paragraphe 2 du même article, pour autant que ce dernier paragraphe concerne lesdites infractions, dans le cas où l'auteur présumé de l'une d'elles se trouve sur son territoire et où ledit État ne l'extrade pas conformément à l'article 8 vers l'un des États visés au paragraphe 1er du présent article.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La présente convention n'écarte aucune compétence pénale exercée conformément aux lois nationales.</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5" w:name="Article6"/>
                  <w:r w:rsidRPr="00032A2E">
                    <w:rPr>
                      <w:rFonts w:ascii="Arial" w:eastAsia="宋体" w:hAnsi="Arial" w:cs="Arial"/>
                      <w:b/>
                      <w:bCs/>
                      <w:color w:val="336666"/>
                      <w:kern w:val="0"/>
                      <w:szCs w:val="27"/>
                      <w:lang w:val="fr-FR"/>
                    </w:rPr>
                    <w:t>Article 6</w:t>
                  </w:r>
                  <w:bookmarkEnd w:id="5"/>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S'il estime que les circonstances le justifient, tout État contractant sur le territoire duquel se trouve l'auteur ou l'auteur présumé de l'infraction assure la détention de cette personne ou prend toutes autres mesures nécessaires pour assurer sa présence. Cette détention et ces mesures doivent être conformes à la législation dudit État; elles ne peuvent être maintenues que pendant le délai nécessaire à l'engagement de poursuites pénales ou d'une procédure d'extradition.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Ledit État procède immédiatement à une enquête préliminaire en vue d'établir les faits.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Toute personne détenue en application du paragraphe 1er du présent article peut communiquer immédiatement avec le plus proche représentant qualifié de l'État dont elle a la nationalité; toutes facilités lui sont accordées à cette fin.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 xml:space="preserve">4. Lorsqu'un État a mis une personne en détention conformément aux dispositions du présent article, il avise immédiatement de cette détention, ainsi que des circonstances qui la justifient, les États mentionnés au paragraphe 1er de l'article 5, l'État dont la personne détenue a la nationalité et, s'il le </w:t>
                  </w:r>
                  <w:r w:rsidRPr="00032A2E">
                    <w:rPr>
                      <w:rFonts w:ascii="Arial" w:eastAsia="宋体" w:hAnsi="Arial" w:cs="Arial"/>
                      <w:kern w:val="0"/>
                      <w:sz w:val="20"/>
                      <w:szCs w:val="24"/>
                      <w:lang w:val="fr-FR"/>
                    </w:rPr>
                    <w:lastRenderedPageBreak/>
                    <w:t>juge opportun, tous autres États intéressés. L'État qui procède à l'enquête préliminaire visée au paragraphe 2 du présent article en communique rapidement les conclusions auxdits États et leur indique s'il entend exercer sa compétence.</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6" w:name="Article7"/>
                  <w:r w:rsidRPr="00032A2E">
                    <w:rPr>
                      <w:rFonts w:ascii="Arial" w:eastAsia="宋体" w:hAnsi="Arial" w:cs="Arial"/>
                      <w:b/>
                      <w:bCs/>
                      <w:color w:val="336666"/>
                      <w:kern w:val="0"/>
                      <w:szCs w:val="27"/>
                      <w:lang w:val="fr-FR"/>
                    </w:rPr>
                    <w:t>Article 7</w:t>
                  </w:r>
                  <w:bookmarkEnd w:id="6"/>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L'État contractant sur le territoire duquel l'auteur présumé de l'une des infractions est découvert, s'il n'extrade pas ce dernier, soumet l'affaire, sans aucune exception et que l'infraction ait ou non été commise sur son territoire, à ses autorités compétentes pour l'exercice de l'action pénale. Ces autorités prennent leur décision dans les mêmes conditions que pour toute infraction de droit commun de caractère grave conformément aux lois de cet État.</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7" w:name="Article8"/>
                  <w:r w:rsidRPr="00032A2E">
                    <w:rPr>
                      <w:rFonts w:ascii="Arial" w:eastAsia="宋体" w:hAnsi="Arial" w:cs="Arial"/>
                      <w:b/>
                      <w:bCs/>
                      <w:color w:val="336666"/>
                      <w:kern w:val="0"/>
                      <w:szCs w:val="27"/>
                      <w:lang w:val="fr-FR"/>
                    </w:rPr>
                    <w:t>Article 8</w:t>
                  </w:r>
                  <w:bookmarkEnd w:id="7"/>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Les infractions sont de plein droit comprises comme cas d'extradition dans tout traité d'extradition conclu entre États contractants. Les États contractants s'engagent à comprendre les infractions comme cas d'extradition dans tout traité d'extradition à conclure entre eux.</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Si un État contractant qui subordonne l'extradition à l'existence d'un traité est saisi d'une demande d'extradition par un autre État contractant avec lequel il n'est pas lié par un traité d'extradition, il a la latitude de considérer la présente convention comme constituant la base juridique de l'extradition en ce qui concerne les infractions. L'extradition est subordonnée aux autres conditions prévues par le droit de l'État requis.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Les États contractants qui ne subordonnent pas l'extradition à l'existence d'un traité reconnaissent les infractions comme cas d'extradition entre eux dans les conditions prévues par le droit de l'État requis.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4. Entre États contractants, les infractions sont considérées aux fins d'extradition comme ayant été commises tant au lieu de leur perpétration que sur le territoire des États tenus d'établir leur compétence en vertu des alinéas (b), (c) et (d) du paragraphe 1er de l'article 5.</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8" w:name="Article9"/>
                  <w:r w:rsidRPr="00032A2E">
                    <w:rPr>
                      <w:rFonts w:ascii="Arial" w:eastAsia="宋体" w:hAnsi="Arial" w:cs="Arial"/>
                      <w:b/>
                      <w:bCs/>
                      <w:color w:val="336666"/>
                      <w:kern w:val="0"/>
                      <w:szCs w:val="27"/>
                      <w:lang w:val="fr-FR"/>
                    </w:rPr>
                    <w:t>Article 9</w:t>
                  </w:r>
                  <w:bookmarkEnd w:id="8"/>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Les États contractants qui constituent pour le transport aérien des organisations d'exploitation en commun ou des organismes internationaux d'exploitation qui exploitent des aéronefs faisant l'objet d'une immatriculation commune ou internationale désignent, pour chaque aéronef, suivant les modalités appropriées, l'État qui exerce la compétence et aura les attributions de l'État d'immatriculation aux fins de la présente convention. Ils aviseront de cette désignation l'Organisation de l'aviation civile internationale, qui en informera tous les États Parties à la présente convention.</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9" w:name="Article10"/>
                  <w:r w:rsidRPr="00032A2E">
                    <w:rPr>
                      <w:rFonts w:ascii="Arial" w:eastAsia="宋体" w:hAnsi="Arial" w:cs="Arial"/>
                      <w:b/>
                      <w:bCs/>
                      <w:color w:val="336666"/>
                      <w:kern w:val="0"/>
                      <w:szCs w:val="27"/>
                      <w:lang w:val="fr-FR"/>
                    </w:rPr>
                    <w:t>Article 10</w:t>
                  </w:r>
                  <w:bookmarkEnd w:id="9"/>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 xml:space="preserve">1. Les États contractants s'engagent, conformément au droit international et national, à s'efforcer de </w:t>
                  </w:r>
                  <w:r w:rsidRPr="00032A2E">
                    <w:rPr>
                      <w:rFonts w:ascii="Arial" w:eastAsia="宋体" w:hAnsi="Arial" w:cs="Arial"/>
                      <w:kern w:val="0"/>
                      <w:sz w:val="20"/>
                      <w:szCs w:val="24"/>
                      <w:lang w:val="fr-FR"/>
                    </w:rPr>
                    <w:lastRenderedPageBreak/>
                    <w:t>prendre les mesures raisonnables en vue de prévenir les infractions visées à l'article 1er.</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Lorsque le vol d'un aéronef a été retardé ou interrompu du fait de la perpétration de l'une des infractions prévues à l'article 1er, tout État contractant sur le territoire duquel se trouvent l'aéronef, les passagers ou l'équipage facilite aux passagers et à l'équipage la poursuite de leur voyage aussitôt que possible. Il restitue sans retard l'aéronef et sa cargaison à ceux qui ont le droit de les détenir.</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0" w:name="Article11"/>
                  <w:r w:rsidRPr="00032A2E">
                    <w:rPr>
                      <w:rFonts w:ascii="Arial" w:eastAsia="宋体" w:hAnsi="Arial" w:cs="Arial"/>
                      <w:b/>
                      <w:bCs/>
                      <w:color w:val="336666"/>
                      <w:kern w:val="0"/>
                      <w:szCs w:val="27"/>
                      <w:lang w:val="fr-FR"/>
                    </w:rPr>
                    <w:t>Article 11</w:t>
                  </w:r>
                  <w:bookmarkEnd w:id="10"/>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Les États contractants s'accordent l'entraide judiciaire la plus large possible dans toute procédure pénale relative aux infractions. Dans tous les cas, la loi applicable pour l'exécution d'une demande d'entraide est celle de l'État requis.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Toutefois, les dispositions du paragraphe 1er du présent article n'affectent pas les obligations découlant des dispositions de tout autre traité de caractère bilatéral ou multilatéral qui régit ou régira, en tout ou en partie, le domaine de l'entraide judiciaire en matière pénale.</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1" w:name="Article12"/>
                  <w:r w:rsidRPr="00032A2E">
                    <w:rPr>
                      <w:rFonts w:ascii="Arial" w:eastAsia="宋体" w:hAnsi="Arial" w:cs="Arial"/>
                      <w:b/>
                      <w:bCs/>
                      <w:color w:val="336666"/>
                      <w:kern w:val="0"/>
                      <w:szCs w:val="27"/>
                      <w:lang w:val="fr-FR"/>
                    </w:rPr>
                    <w:t>Article 12</w:t>
                  </w:r>
                  <w:bookmarkEnd w:id="11"/>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Tout État contractant qui a lieu de croire que l'une des infractions prévues à l'article 1er sera commise fournit, en conformité avec les dispositions de sa législation nationale, tous renseignements utiles en sa possession aux États qui à son avis seraient les États visés au paragraphe 1er de l'article 5.</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2" w:name="Article13"/>
                  <w:r w:rsidRPr="00032A2E">
                    <w:rPr>
                      <w:rFonts w:ascii="Arial" w:eastAsia="宋体" w:hAnsi="Arial" w:cs="Arial"/>
                      <w:b/>
                      <w:bCs/>
                      <w:color w:val="336666"/>
                      <w:kern w:val="0"/>
                      <w:szCs w:val="27"/>
                      <w:lang w:val="fr-FR"/>
                    </w:rPr>
                    <w:t>Article 13</w:t>
                  </w:r>
                  <w:bookmarkEnd w:id="12"/>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Tout État contractant communique aussi rapidement que possible au Conseil de l'Organisation de l'aviation civile internationale, en conformité avec les dispositions de sa législation nationale, tous renseignements utiles en sa possession relatifs: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(a) aux circonstances de l'infraction;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(b) aux mesures prises en application du paragraphe 2 de l'article 10;</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(c) aux mesures prises à l'égard de l'auteur ou de l'auteur présumé de l'infraction et notamment au résultat de toute procédure d'extradition ou de toute autre procédure judiciaire.</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3" w:name="Article14"/>
                  <w:r w:rsidRPr="00032A2E">
                    <w:rPr>
                      <w:rFonts w:ascii="Arial" w:eastAsia="宋体" w:hAnsi="Arial" w:cs="Arial"/>
                      <w:b/>
                      <w:bCs/>
                      <w:color w:val="336666"/>
                      <w:kern w:val="0"/>
                      <w:szCs w:val="27"/>
                      <w:lang w:val="fr-FR"/>
                    </w:rPr>
                    <w:t>Article 14</w:t>
                  </w:r>
                  <w:bookmarkEnd w:id="13"/>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Tout différend entre des États contractants concernant l'interprétation ou l'application de la présente convention qui ne peut pas être réglé par voie de négociation est soumis à l'arbitrage, à la demande de l'un d'entre eux. Si, dans les six mois qui suivent la date de la demande d'arbitrage, les Parties ne parviennent pas à se mettre d'accord sur l'organisation de l'arbitrage, l'une quelconque d'entre elles peut soumettre le différend à la Cour internationale de Justice, en déposant une requête conformément au Statut de la Cour.</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lastRenderedPageBreak/>
                    <w:t>2. Chaque État pourra, au moment où il signera ou ratifiera la présente convention ou y adhérera, déclarer qu'il ne se considère pas lié par les dispositions du paragraphe précédent. Les autres États contractants ne seront pas liés par lesdites dispositions envers tout État contractant qui aura formulé une telle réserve.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Tout État contractant qui aura formulé une réserve conformément aux dispositions du paragraphe précédent pourra à tout moment lever cette réserve par une notification adressée aux gouvernements dépositaires.</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4" w:name="Article15"/>
                  <w:r w:rsidRPr="00032A2E">
                    <w:rPr>
                      <w:rFonts w:ascii="Arial" w:eastAsia="宋体" w:hAnsi="Arial" w:cs="Arial"/>
                      <w:b/>
                      <w:bCs/>
                      <w:color w:val="336666"/>
                      <w:kern w:val="0"/>
                      <w:szCs w:val="27"/>
                      <w:lang w:val="fr-FR"/>
                    </w:rPr>
                    <w:t>Article 15</w:t>
                  </w:r>
                  <w:bookmarkEnd w:id="14"/>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1. La présente convention sera ouverte le 23 septembre 1971 à Montréal à la signature des États participant à la Conférence internationale de droit aérien tenue à Montréal du 8 au 23 septembre 1971 (ci-après dénommée «la Conférence de Montréal»). Après le 10 octobre 1971, elle sera ouverte à la signature de tous les États à Washington, à Londres et à Moscou. Tout État qui n'aura pas signé la convention avant qu'elle soit entrée en vigueur conformément au paragraphe 3 du présent article pourra y adhérer à tout moment.</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La présente convention est soumise à la ratification des États signataires. Les instruments de ratification ainsi que les instruments d'adhésion seront déposés auprès des gouvernements des États-Unis d'Amérique, du Royaume-Uni de Grande Bretagne et d'Irlande du Nord et de l'Union des Républiques socialistes soviétiques, qui sont désignés par les présentes comme gouvernements dépositaires.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3. La présente convention entrera en vigueur trente jours après la date du dépôt des instruments de ratification de dix États signataires qui ont participé à la Conférence de Montréal.</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4. Pour les autres États, la présente convention entrera en vigueur à la date de son entrée en vigueur conformément au paragraphe 3 du présent article ou trente jours après la date du dépôt de leurs instruments de ratification ou d'adhésion, si cette seconde date est postérieure à la première.</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5. Les gouvernements dépositaires informeront rapidement tous les États qui signeront la présente convention ou y adhéreront de la date de chaque signature, de la date du dépôt de chaque instrument de ratification ou d'adhésion, de la date d'entrée en vigueur de la présente convention ainsi que de toutes autres communications.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6. Dès son entrée en vigueur, la présente convention sera enregistrée par les gouvernements dépositaires conformément aux dispositions de l'article 102 de la Charte des Nations Unies et conformément aux dispositions de l'article 83 de la Convention relative à l'aviation civile internationale (Chicago, 1944).</w:t>
                  </w:r>
                </w:p>
                <w:p w:rsidR="00032A2E" w:rsidRPr="00032A2E" w:rsidRDefault="00032A2E" w:rsidP="00032A2E">
                  <w:pPr>
                    <w:widowControl/>
                    <w:spacing w:before="100" w:beforeAutospacing="1" w:after="100" w:afterAutospacing="1"/>
                    <w:jc w:val="left"/>
                    <w:outlineLvl w:val="2"/>
                    <w:rPr>
                      <w:rFonts w:ascii="Arial" w:eastAsia="宋体" w:hAnsi="Arial" w:cs="Arial"/>
                      <w:b/>
                      <w:bCs/>
                      <w:kern w:val="0"/>
                      <w:szCs w:val="27"/>
                      <w:lang w:val="fr-FR"/>
                    </w:rPr>
                  </w:pPr>
                  <w:bookmarkStart w:id="15" w:name="Article16"/>
                  <w:r w:rsidRPr="00032A2E">
                    <w:rPr>
                      <w:rFonts w:ascii="Arial" w:eastAsia="宋体" w:hAnsi="Arial" w:cs="Arial"/>
                      <w:b/>
                      <w:bCs/>
                      <w:color w:val="336666"/>
                      <w:kern w:val="0"/>
                      <w:szCs w:val="27"/>
                      <w:lang w:val="fr-FR"/>
                    </w:rPr>
                    <w:t>Article 16</w:t>
                  </w:r>
                  <w:bookmarkEnd w:id="15"/>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 xml:space="preserve">1. Tout État contractant peut dénoncer la présente convention par voie de notification écrite adressée </w:t>
                  </w:r>
                  <w:r w:rsidRPr="00032A2E">
                    <w:rPr>
                      <w:rFonts w:ascii="Arial" w:eastAsia="宋体" w:hAnsi="Arial" w:cs="Arial"/>
                      <w:kern w:val="0"/>
                      <w:sz w:val="20"/>
                      <w:szCs w:val="24"/>
                      <w:lang w:val="fr-FR"/>
                    </w:rPr>
                    <w:lastRenderedPageBreak/>
                    <w:t>aux gouvernements dépositaires.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2. La dénonciation prendra effet six mois après la date à laquelle la notification aura été reçue par les gouvernements dépositaires.</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EN FOI DE QUOI les Plénipotentiaires soussignés, dûment autorisés, ont signé la présente convention.</w:t>
                  </w:r>
                </w:p>
                <w:p w:rsidR="00032A2E" w:rsidRPr="00032A2E" w:rsidRDefault="00032A2E" w:rsidP="00032A2E">
                  <w:pPr>
                    <w:widowControl/>
                    <w:spacing w:before="100" w:beforeAutospacing="1" w:after="100" w:afterAutospacing="1"/>
                    <w:jc w:val="left"/>
                    <w:rPr>
                      <w:rFonts w:ascii="Arial" w:eastAsia="宋体" w:hAnsi="Arial" w:cs="Arial"/>
                      <w:kern w:val="0"/>
                      <w:sz w:val="20"/>
                      <w:szCs w:val="24"/>
                      <w:lang w:val="fr-FR"/>
                    </w:rPr>
                  </w:pPr>
                  <w:r w:rsidRPr="00032A2E">
                    <w:rPr>
                      <w:rFonts w:ascii="Arial" w:eastAsia="宋体" w:hAnsi="Arial" w:cs="Arial"/>
                      <w:kern w:val="0"/>
                      <w:sz w:val="20"/>
                      <w:szCs w:val="24"/>
                      <w:lang w:val="fr-FR"/>
                    </w:rPr>
                    <w:t>FAIT à Montréal, le vingt-troisième jour du mois de septembre de l'an mil neuf cent soixante et onze, en trois exemplaires originaux comprenant chacun quatre textes authentiques rédigés dans les langues française, anglaise, espagnole et russe.</w:t>
                  </w:r>
                </w:p>
                <w:tbl>
                  <w:tblPr>
                    <w:tblW w:w="0" w:type="auto"/>
                    <w:tblCellSpacing w:w="15" w:type="dxa"/>
                    <w:tblCellMar>
                      <w:top w:w="15" w:type="dxa"/>
                      <w:left w:w="15" w:type="dxa"/>
                      <w:bottom w:w="15" w:type="dxa"/>
                      <w:right w:w="15" w:type="dxa"/>
                    </w:tblCellMar>
                    <w:tblLook w:val="04A0"/>
                  </w:tblPr>
                  <w:tblGrid>
                    <w:gridCol w:w="96"/>
                  </w:tblGrid>
                  <w:tr w:rsidR="00032A2E" w:rsidRPr="00032A2E">
                    <w:trPr>
                      <w:tblCellSpacing w:w="15" w:type="dxa"/>
                    </w:trPr>
                    <w:tc>
                      <w:tcPr>
                        <w:tcW w:w="0" w:type="auto"/>
                        <w:vAlign w:val="center"/>
                        <w:hideMark/>
                      </w:tcPr>
                      <w:p w:rsidR="00032A2E" w:rsidRPr="00032A2E" w:rsidRDefault="00032A2E" w:rsidP="00032A2E">
                        <w:pPr>
                          <w:widowControl/>
                          <w:jc w:val="left"/>
                          <w:rPr>
                            <w:rFonts w:ascii="宋体" w:eastAsia="宋体" w:hAnsi="宋体" w:cs="宋体"/>
                            <w:kern w:val="0"/>
                            <w:sz w:val="20"/>
                            <w:szCs w:val="24"/>
                            <w:lang w:val="fr-FR"/>
                          </w:rPr>
                        </w:pPr>
                      </w:p>
                    </w:tc>
                  </w:tr>
                </w:tbl>
                <w:p w:rsidR="00032A2E" w:rsidRPr="00032A2E" w:rsidRDefault="00032A2E" w:rsidP="00032A2E">
                  <w:pPr>
                    <w:widowControl/>
                    <w:jc w:val="left"/>
                    <w:rPr>
                      <w:rFonts w:ascii="宋体" w:eastAsia="宋体" w:hAnsi="宋体" w:cs="宋体"/>
                      <w:kern w:val="0"/>
                      <w:sz w:val="20"/>
                      <w:szCs w:val="24"/>
                      <w:lang w:val="fr-FR"/>
                    </w:rPr>
                  </w:pPr>
                </w:p>
              </w:tc>
            </w:tr>
          </w:tbl>
          <w:p w:rsidR="00032A2E" w:rsidRPr="00032A2E" w:rsidRDefault="00032A2E" w:rsidP="00032A2E">
            <w:pPr>
              <w:widowControl/>
              <w:jc w:val="center"/>
              <w:rPr>
                <w:rFonts w:ascii="Simsun" w:eastAsia="宋体" w:hAnsi="Simsun" w:cs="宋体"/>
                <w:kern w:val="0"/>
                <w:sz w:val="20"/>
                <w:szCs w:val="24"/>
                <w:lang w:val="fr-FR"/>
              </w:rPr>
            </w:pPr>
          </w:p>
        </w:tc>
      </w:tr>
    </w:tbl>
    <w:p w:rsidR="00032A2E" w:rsidRPr="00032A2E" w:rsidRDefault="00032A2E" w:rsidP="00032A2E">
      <w:pPr>
        <w:widowControl/>
        <w:jc w:val="left"/>
        <w:rPr>
          <w:rFonts w:ascii="宋体" w:eastAsia="宋体" w:hAnsi="宋体" w:cs="宋体"/>
          <w:vanish/>
          <w:kern w:val="0"/>
          <w:sz w:val="20"/>
          <w:szCs w:val="24"/>
          <w:lang w:val="fr-FR"/>
        </w:rPr>
      </w:pPr>
    </w:p>
    <w:tbl>
      <w:tblPr>
        <w:tblW w:w="5000" w:type="pct"/>
        <w:tblCellSpacing w:w="0" w:type="dxa"/>
        <w:tblCellMar>
          <w:left w:w="0" w:type="dxa"/>
          <w:right w:w="0" w:type="dxa"/>
        </w:tblCellMar>
        <w:tblLook w:val="04A0"/>
      </w:tblPr>
      <w:tblGrid>
        <w:gridCol w:w="8306"/>
      </w:tblGrid>
      <w:tr w:rsidR="00032A2E" w:rsidRPr="00032A2E" w:rsidTr="00032A2E">
        <w:trPr>
          <w:tblCellSpacing w:w="0" w:type="dxa"/>
        </w:trPr>
        <w:tc>
          <w:tcPr>
            <w:tcW w:w="0" w:type="auto"/>
            <w:vAlign w:val="center"/>
            <w:hideMark/>
          </w:tcPr>
          <w:p w:rsidR="00032A2E" w:rsidRPr="00032A2E" w:rsidRDefault="00032A2E" w:rsidP="00032A2E">
            <w:pPr>
              <w:widowControl/>
              <w:jc w:val="left"/>
              <w:rPr>
                <w:rFonts w:ascii="Simsun" w:eastAsia="宋体" w:hAnsi="Simsun" w:cs="宋体"/>
                <w:kern w:val="0"/>
                <w:sz w:val="20"/>
                <w:szCs w:val="24"/>
                <w:lang w:val="fr-FR"/>
              </w:rPr>
            </w:pPr>
          </w:p>
        </w:tc>
      </w:tr>
    </w:tbl>
    <w:p w:rsidR="00745B1E" w:rsidRPr="00032A2E" w:rsidRDefault="00745B1E">
      <w:pPr>
        <w:rPr>
          <w:sz w:val="16"/>
          <w:lang w:val="fr-FR"/>
        </w:rPr>
      </w:pPr>
    </w:p>
    <w:sectPr w:rsidR="00745B1E" w:rsidRPr="00032A2E" w:rsidSect="004963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A2E"/>
    <w:rsid w:val="00032A2E"/>
    <w:rsid w:val="0049632C"/>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2C"/>
    <w:pPr>
      <w:widowControl w:val="0"/>
      <w:jc w:val="both"/>
    </w:pPr>
  </w:style>
  <w:style w:type="paragraph" w:styleId="3">
    <w:name w:val="heading 3"/>
    <w:basedOn w:val="a"/>
    <w:link w:val="3Char"/>
    <w:uiPriority w:val="9"/>
    <w:qFormat/>
    <w:rsid w:val="00032A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2A2E"/>
    <w:rPr>
      <w:rFonts w:ascii="宋体" w:eastAsia="宋体" w:hAnsi="宋体" w:cs="宋体"/>
      <w:b/>
      <w:bCs/>
      <w:kern w:val="0"/>
      <w:sz w:val="27"/>
      <w:szCs w:val="27"/>
    </w:rPr>
  </w:style>
  <w:style w:type="paragraph" w:styleId="a3">
    <w:name w:val="Normal (Web)"/>
    <w:basedOn w:val="a"/>
    <w:uiPriority w:val="99"/>
    <w:semiHidden/>
    <w:unhideWhenUsed/>
    <w:rsid w:val="00032A2E"/>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032A2E"/>
  </w:style>
  <w:style w:type="character" w:customStyle="1" w:styleId="apple-converted-space">
    <w:name w:val="apple-converted-space"/>
    <w:basedOn w:val="a0"/>
    <w:rsid w:val="00032A2E"/>
  </w:style>
</w:styles>
</file>

<file path=word/webSettings.xml><?xml version="1.0" encoding="utf-8"?>
<w:webSettings xmlns:r="http://schemas.openxmlformats.org/officeDocument/2006/relationships" xmlns:w="http://schemas.openxmlformats.org/wordprocessingml/2006/main">
  <w:divs>
    <w:div w:id="1007904400">
      <w:bodyDiv w:val="1"/>
      <w:marLeft w:val="0"/>
      <w:marRight w:val="0"/>
      <w:marTop w:val="0"/>
      <w:marBottom w:val="0"/>
      <w:divBdr>
        <w:top w:val="none" w:sz="0" w:space="0" w:color="auto"/>
        <w:left w:val="none" w:sz="0" w:space="0" w:color="auto"/>
        <w:bottom w:val="none" w:sz="0" w:space="0" w:color="auto"/>
        <w:right w:val="none" w:sz="0" w:space="0" w:color="auto"/>
      </w:divBdr>
      <w:divsChild>
        <w:div w:id="1453673277">
          <w:marLeft w:val="0"/>
          <w:marRight w:val="0"/>
          <w:marTop w:val="0"/>
          <w:marBottom w:val="0"/>
          <w:divBdr>
            <w:top w:val="none" w:sz="0" w:space="0" w:color="auto"/>
            <w:left w:val="none" w:sz="0" w:space="0" w:color="auto"/>
            <w:bottom w:val="none" w:sz="0" w:space="0" w:color="auto"/>
            <w:right w:val="none" w:sz="0" w:space="0" w:color="auto"/>
          </w:divBdr>
          <w:divsChild>
            <w:div w:id="555706047">
              <w:marLeft w:val="0"/>
              <w:marRight w:val="0"/>
              <w:marTop w:val="0"/>
              <w:marBottom w:val="0"/>
              <w:divBdr>
                <w:top w:val="none" w:sz="0" w:space="0" w:color="auto"/>
                <w:left w:val="none" w:sz="0" w:space="0" w:color="auto"/>
                <w:bottom w:val="none" w:sz="0" w:space="0" w:color="auto"/>
                <w:right w:val="none" w:sz="0" w:space="0" w:color="auto"/>
              </w:divBdr>
            </w:div>
          </w:divsChild>
        </w:div>
        <w:div w:id="1730956213">
          <w:marLeft w:val="0"/>
          <w:marRight w:val="0"/>
          <w:marTop w:val="0"/>
          <w:marBottom w:val="0"/>
          <w:divBdr>
            <w:top w:val="none" w:sz="0" w:space="0" w:color="auto"/>
            <w:left w:val="none" w:sz="0" w:space="0" w:color="auto"/>
            <w:bottom w:val="none" w:sz="0" w:space="0" w:color="auto"/>
            <w:right w:val="none" w:sz="0" w:space="0" w:color="auto"/>
          </w:divBdr>
          <w:divsChild>
            <w:div w:id="2044935624">
              <w:marLeft w:val="0"/>
              <w:marRight w:val="0"/>
              <w:marTop w:val="0"/>
              <w:marBottom w:val="0"/>
              <w:divBdr>
                <w:top w:val="none" w:sz="0" w:space="0" w:color="auto"/>
                <w:left w:val="none" w:sz="0" w:space="0" w:color="auto"/>
                <w:bottom w:val="none" w:sz="0" w:space="0" w:color="auto"/>
                <w:right w:val="none" w:sz="0" w:space="0" w:color="auto"/>
              </w:divBdr>
            </w:div>
            <w:div w:id="1297178822">
              <w:marLeft w:val="0"/>
              <w:marRight w:val="0"/>
              <w:marTop w:val="0"/>
              <w:marBottom w:val="0"/>
              <w:divBdr>
                <w:top w:val="none" w:sz="0" w:space="0" w:color="auto"/>
                <w:left w:val="none" w:sz="0" w:space="0" w:color="auto"/>
                <w:bottom w:val="none" w:sz="0" w:space="0" w:color="auto"/>
                <w:right w:val="none" w:sz="0" w:space="0" w:color="auto"/>
              </w:divBdr>
            </w:div>
            <w:div w:id="861671485">
              <w:marLeft w:val="0"/>
              <w:marRight w:val="0"/>
              <w:marTop w:val="0"/>
              <w:marBottom w:val="0"/>
              <w:divBdr>
                <w:top w:val="none" w:sz="0" w:space="0" w:color="auto"/>
                <w:left w:val="none" w:sz="0" w:space="0" w:color="auto"/>
                <w:bottom w:val="none" w:sz="0" w:space="0" w:color="auto"/>
                <w:right w:val="none" w:sz="0" w:space="0" w:color="auto"/>
              </w:divBdr>
            </w:div>
            <w:div w:id="2099936911">
              <w:marLeft w:val="0"/>
              <w:marRight w:val="0"/>
              <w:marTop w:val="0"/>
              <w:marBottom w:val="0"/>
              <w:divBdr>
                <w:top w:val="none" w:sz="0" w:space="0" w:color="auto"/>
                <w:left w:val="none" w:sz="0" w:space="0" w:color="auto"/>
                <w:bottom w:val="none" w:sz="0" w:space="0" w:color="auto"/>
                <w:right w:val="none" w:sz="0" w:space="0" w:color="auto"/>
              </w:divBdr>
            </w:div>
            <w:div w:id="1702053064">
              <w:marLeft w:val="0"/>
              <w:marRight w:val="0"/>
              <w:marTop w:val="0"/>
              <w:marBottom w:val="0"/>
              <w:divBdr>
                <w:top w:val="none" w:sz="0" w:space="0" w:color="auto"/>
                <w:left w:val="none" w:sz="0" w:space="0" w:color="auto"/>
                <w:bottom w:val="none" w:sz="0" w:space="0" w:color="auto"/>
                <w:right w:val="none" w:sz="0" w:space="0" w:color="auto"/>
              </w:divBdr>
            </w:div>
            <w:div w:id="1251739149">
              <w:marLeft w:val="0"/>
              <w:marRight w:val="0"/>
              <w:marTop w:val="0"/>
              <w:marBottom w:val="0"/>
              <w:divBdr>
                <w:top w:val="none" w:sz="0" w:space="0" w:color="auto"/>
                <w:left w:val="none" w:sz="0" w:space="0" w:color="auto"/>
                <w:bottom w:val="none" w:sz="0" w:space="0" w:color="auto"/>
                <w:right w:val="none" w:sz="0" w:space="0" w:color="auto"/>
              </w:divBdr>
            </w:div>
            <w:div w:id="1008561289">
              <w:marLeft w:val="0"/>
              <w:marRight w:val="0"/>
              <w:marTop w:val="0"/>
              <w:marBottom w:val="0"/>
              <w:divBdr>
                <w:top w:val="none" w:sz="0" w:space="0" w:color="auto"/>
                <w:left w:val="none" w:sz="0" w:space="0" w:color="auto"/>
                <w:bottom w:val="none" w:sz="0" w:space="0" w:color="auto"/>
                <w:right w:val="none" w:sz="0" w:space="0" w:color="auto"/>
              </w:divBdr>
            </w:div>
            <w:div w:id="2108115925">
              <w:marLeft w:val="0"/>
              <w:marRight w:val="0"/>
              <w:marTop w:val="0"/>
              <w:marBottom w:val="0"/>
              <w:divBdr>
                <w:top w:val="none" w:sz="0" w:space="0" w:color="auto"/>
                <w:left w:val="none" w:sz="0" w:space="0" w:color="auto"/>
                <w:bottom w:val="none" w:sz="0" w:space="0" w:color="auto"/>
                <w:right w:val="none" w:sz="0" w:space="0" w:color="auto"/>
              </w:divBdr>
            </w:div>
            <w:div w:id="1504511634">
              <w:marLeft w:val="0"/>
              <w:marRight w:val="0"/>
              <w:marTop w:val="0"/>
              <w:marBottom w:val="0"/>
              <w:divBdr>
                <w:top w:val="none" w:sz="0" w:space="0" w:color="auto"/>
                <w:left w:val="none" w:sz="0" w:space="0" w:color="auto"/>
                <w:bottom w:val="none" w:sz="0" w:space="0" w:color="auto"/>
                <w:right w:val="none" w:sz="0" w:space="0" w:color="auto"/>
              </w:divBdr>
            </w:div>
            <w:div w:id="322782908">
              <w:marLeft w:val="0"/>
              <w:marRight w:val="0"/>
              <w:marTop w:val="0"/>
              <w:marBottom w:val="0"/>
              <w:divBdr>
                <w:top w:val="none" w:sz="0" w:space="0" w:color="auto"/>
                <w:left w:val="none" w:sz="0" w:space="0" w:color="auto"/>
                <w:bottom w:val="none" w:sz="0" w:space="0" w:color="auto"/>
                <w:right w:val="none" w:sz="0" w:space="0" w:color="auto"/>
              </w:divBdr>
            </w:div>
            <w:div w:id="1198855756">
              <w:marLeft w:val="0"/>
              <w:marRight w:val="0"/>
              <w:marTop w:val="0"/>
              <w:marBottom w:val="0"/>
              <w:divBdr>
                <w:top w:val="none" w:sz="0" w:space="0" w:color="auto"/>
                <w:left w:val="none" w:sz="0" w:space="0" w:color="auto"/>
                <w:bottom w:val="none" w:sz="0" w:space="0" w:color="auto"/>
                <w:right w:val="none" w:sz="0" w:space="0" w:color="auto"/>
              </w:divBdr>
            </w:div>
            <w:div w:id="15085612">
              <w:marLeft w:val="0"/>
              <w:marRight w:val="0"/>
              <w:marTop w:val="0"/>
              <w:marBottom w:val="0"/>
              <w:divBdr>
                <w:top w:val="none" w:sz="0" w:space="0" w:color="auto"/>
                <w:left w:val="none" w:sz="0" w:space="0" w:color="auto"/>
                <w:bottom w:val="none" w:sz="0" w:space="0" w:color="auto"/>
                <w:right w:val="none" w:sz="0" w:space="0" w:color="auto"/>
              </w:divBdr>
            </w:div>
            <w:div w:id="798651984">
              <w:marLeft w:val="0"/>
              <w:marRight w:val="0"/>
              <w:marTop w:val="0"/>
              <w:marBottom w:val="0"/>
              <w:divBdr>
                <w:top w:val="none" w:sz="0" w:space="0" w:color="auto"/>
                <w:left w:val="none" w:sz="0" w:space="0" w:color="auto"/>
                <w:bottom w:val="none" w:sz="0" w:space="0" w:color="auto"/>
                <w:right w:val="none" w:sz="0" w:space="0" w:color="auto"/>
              </w:divBdr>
            </w:div>
            <w:div w:id="12460091">
              <w:marLeft w:val="0"/>
              <w:marRight w:val="0"/>
              <w:marTop w:val="0"/>
              <w:marBottom w:val="0"/>
              <w:divBdr>
                <w:top w:val="none" w:sz="0" w:space="0" w:color="auto"/>
                <w:left w:val="none" w:sz="0" w:space="0" w:color="auto"/>
                <w:bottom w:val="none" w:sz="0" w:space="0" w:color="auto"/>
                <w:right w:val="none" w:sz="0" w:space="0" w:color="auto"/>
              </w:divBdr>
            </w:div>
            <w:div w:id="275137486">
              <w:marLeft w:val="0"/>
              <w:marRight w:val="0"/>
              <w:marTop w:val="0"/>
              <w:marBottom w:val="0"/>
              <w:divBdr>
                <w:top w:val="none" w:sz="0" w:space="0" w:color="auto"/>
                <w:left w:val="none" w:sz="0" w:space="0" w:color="auto"/>
                <w:bottom w:val="none" w:sz="0" w:space="0" w:color="auto"/>
                <w:right w:val="none" w:sz="0" w:space="0" w:color="auto"/>
              </w:divBdr>
            </w:div>
            <w:div w:id="1523013417">
              <w:marLeft w:val="0"/>
              <w:marRight w:val="0"/>
              <w:marTop w:val="0"/>
              <w:marBottom w:val="0"/>
              <w:divBdr>
                <w:top w:val="none" w:sz="0" w:space="0" w:color="auto"/>
                <w:left w:val="none" w:sz="0" w:space="0" w:color="auto"/>
                <w:bottom w:val="none" w:sz="0" w:space="0" w:color="auto"/>
                <w:right w:val="none" w:sz="0" w:space="0" w:color="auto"/>
              </w:divBdr>
            </w:div>
          </w:divsChild>
        </w:div>
        <w:div w:id="2005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2017-03-07T01:08:00Z</dcterms:created>
  <dcterms:modified xsi:type="dcterms:W3CDTF">2017-03-07T01:09:00Z</dcterms:modified>
</cp:coreProperties>
</file>