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jc w:val="center"/>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CONVENTION N° 11</w:t>
      </w:r>
    </w:p>
    <w:p w:rsidR="0081619E" w:rsidRPr="0081619E" w:rsidRDefault="0081619E" w:rsidP="0081619E">
      <w:pPr>
        <w:widowControl/>
        <w:shd w:val="clear" w:color="auto" w:fill="FFFFFF"/>
        <w:ind w:firstLine="540"/>
        <w:jc w:val="center"/>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sur le droit d’association (agriculture), 1921</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La Conférence générale de l'Organisation internationale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Convoquée à Genève par le Conseil d'administration du Bureau international du Travail, et s'y étant réunie le 25 octobre 1921, en sa troisième session;</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Après avoir décidé d'adopter diverses propositions relatives aux droits d'association et de coalition des travailleurs agricoles, question comprise dans le quatrième point de l'ordre du jour de la session;</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Après avoir décidé que ces propositions prendraient la forme d'une convention internationale,</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Adopte la convention ci-après, qui sera dénommée Convention sur le droit d'association (agriculture), 1921, à ratifier par les Membres de l'Organisation internationale du Travail conformément aux dispositions de la Constitution de l'Organisation internationale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1</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Tout Membre de l'Organisation internationale du Travail ratifiant la présente convention s'engage à assurer à toutes les personnes occupées dans l'agriculture les mêmes droits d'association et de coalition qu'aux travailleurs de l'industrie, et à abroger toute disposition législative ou autre ayant pour effet de restreindre ces droits à l'égard des travailleurs agricoles.</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jc w:val="center"/>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DISPOSITIONS </w:t>
      </w:r>
      <w:r w:rsidRPr="0081619E">
        <w:rPr>
          <w:rFonts w:ascii="Arial" w:eastAsia="宋体" w:hAnsi="Arial" w:cs="Arial"/>
          <w:b/>
          <w:bCs/>
          <w:color w:val="000066"/>
          <w:kern w:val="0"/>
          <w:sz w:val="20"/>
          <w:lang w:val="fr-FR"/>
        </w:rPr>
        <w:t> </w:t>
      </w:r>
      <w:r w:rsidRPr="0081619E">
        <w:rPr>
          <w:rFonts w:ascii="Arial" w:eastAsia="宋体" w:hAnsi="Arial" w:cs="Arial"/>
          <w:b/>
          <w:bCs/>
          <w:color w:val="000066"/>
          <w:kern w:val="0"/>
          <w:sz w:val="20"/>
          <w:szCs w:val="20"/>
          <w:lang w:val="fr-FR"/>
        </w:rPr>
        <w:t>FINALES</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2</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Les ratifications officielles de la présente convention dans les conditions établies par la Constitution de l'Organisation internationale du Travail seront communiquées au Directeur général du Bureau international du Travail et par lui enregistrées.</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3</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1. La présente convention entrera en vigueur dès que les ratifications de deux Membres de l'Organisation internationale du Travail auront été enregistrées par le Directeur général.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2. Elle ne liera que les Membres dont la ratification aura été enregistrée au Bureau international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3. Par la suite, cette convention entrera en vigueur pour chaque Membre à la date où sa ratification aura été enregistrée au Bureau international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4</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xml:space="preserve">Aussitôt que les ratifications de deux Membres de l'Organisation internationale du Travail auront été enregistrées au Bureau international du Travail, le Directeur général du </w:t>
      </w:r>
      <w:r w:rsidRPr="0081619E">
        <w:rPr>
          <w:rFonts w:ascii="Arial" w:eastAsia="宋体" w:hAnsi="Arial" w:cs="Arial"/>
          <w:color w:val="000066"/>
          <w:kern w:val="0"/>
          <w:sz w:val="20"/>
          <w:szCs w:val="20"/>
          <w:lang w:val="fr-FR"/>
        </w:rPr>
        <w:lastRenderedPageBreak/>
        <w:t>Bureau international du Travail notifiera ce fait à tous les Membres de l'Organisation internationale du Travail. Il leur notifiera également l'enregistrement des ratifications qui lui seront ultérieurement communiquées par tous autres Membres de l'Organisation.</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5</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Sous réserve des dispositions de l'article 3, tout Membre qui ratifie la présente convention s'engage à appliquer les dispositions des articles 1, au plus tard le 1er janvier 1924 et à prendre telles mesures qui seront nécessaires pour rendre effectives ces dispositions.</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6</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Tout Membre de l'Organisation internationale du Travail qui ratifie la présente convention s'engage à l'appliquer à ses colonies, possessions et protectorats, conformément aux dispositions de l'article 35 de la Constitution de l'Organisation internationale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7</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8</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Le Conseil d'administration du Bureau international du Travail devra, au moins une fois tous les dix ans, présenter à la Conférence générale un rapport sur l'application de la présente convention et décidera s'il y a lieu d'inscrire à l'ordre du jour de la Conférence la question de la révision ou de la modification de ladite convention.</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b/>
          <w:bCs/>
          <w:color w:val="000066"/>
          <w:kern w:val="0"/>
          <w:sz w:val="20"/>
          <w:szCs w:val="20"/>
          <w:lang w:val="fr-FR"/>
        </w:rPr>
        <w:t>Article 9</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Les textes français et anglais de la présente convention feront foi l'un et l'autre</w:t>
      </w:r>
    </w:p>
    <w:p w:rsidR="0081619E" w:rsidRPr="0081619E" w:rsidRDefault="0081619E" w:rsidP="0081619E">
      <w:pPr>
        <w:widowControl/>
        <w:shd w:val="clear" w:color="auto" w:fill="FFFFFF"/>
        <w:ind w:firstLine="540"/>
        <w:rPr>
          <w:rFonts w:ascii="Arial" w:eastAsia="宋体" w:hAnsi="Arial" w:cs="Arial"/>
          <w:color w:val="000066"/>
          <w:kern w:val="0"/>
          <w:sz w:val="27"/>
          <w:szCs w:val="27"/>
          <w:lang w:val="fr-FR"/>
        </w:rPr>
      </w:pPr>
      <w:r w:rsidRPr="0081619E">
        <w:rPr>
          <w:rFonts w:ascii="Arial" w:eastAsia="宋体" w:hAnsi="Arial" w:cs="Arial"/>
          <w:color w:val="000066"/>
          <w:kern w:val="0"/>
          <w:sz w:val="20"/>
          <w:szCs w:val="20"/>
          <w:lang w:val="fr-FR"/>
        </w:rPr>
        <w:t> </w:t>
      </w:r>
    </w:p>
    <w:p w:rsidR="00745B1E" w:rsidRPr="0081619E" w:rsidRDefault="00745B1E">
      <w:pPr>
        <w:rPr>
          <w:lang w:val="fr-FR"/>
        </w:rPr>
      </w:pPr>
    </w:p>
    <w:sectPr w:rsidR="00745B1E" w:rsidRPr="0081619E" w:rsidSect="002D5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19E"/>
    <w:rsid w:val="002D50C4"/>
    <w:rsid w:val="00745B1E"/>
    <w:rsid w:val="00816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619E"/>
  </w:style>
</w:styles>
</file>

<file path=word/webSettings.xml><?xml version="1.0" encoding="utf-8"?>
<w:webSettings xmlns:r="http://schemas.openxmlformats.org/officeDocument/2006/relationships" xmlns:w="http://schemas.openxmlformats.org/wordprocessingml/2006/main">
  <w:divs>
    <w:div w:id="14991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2017-03-02T00:52:00Z</dcterms:created>
  <dcterms:modified xsi:type="dcterms:W3CDTF">2017-03-02T00:52:00Z</dcterms:modified>
</cp:coreProperties>
</file>